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u w:val="single"/>
        </w:rPr>
      </w:pPr>
      <w:r w:rsidDel="00000000" w:rsidR="00000000" w:rsidRPr="00000000">
        <w:rPr>
          <w:u w:val="single"/>
          <w:rtl w:val="0"/>
        </w:rPr>
        <w:t xml:space="preserve">Independent Magazine Self Reflection. </w:t>
      </w:r>
    </w:p>
    <w:p w:rsidR="00000000" w:rsidDel="00000000" w:rsidP="00000000" w:rsidRDefault="00000000" w:rsidRPr="00000000" w14:paraId="00000002">
      <w:pPr>
        <w:rPr>
          <w:u w:val="single"/>
        </w:rPr>
      </w:pPr>
      <w:r w:rsidDel="00000000" w:rsidR="00000000" w:rsidRPr="00000000">
        <w:rPr>
          <w:u w:val="single"/>
          <w:rtl w:val="0"/>
        </w:rPr>
        <w:t xml:space="preserve">Fern Griffin-Banable </w:t>
      </w:r>
    </w:p>
    <w:p w:rsidR="00000000" w:rsidDel="00000000" w:rsidP="00000000" w:rsidRDefault="00000000" w:rsidRPr="00000000" w14:paraId="00000003">
      <w:pPr>
        <w:rPr>
          <w:u w:val="single"/>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Composing ‘Bleach’,  I was central to the magazine with my role as a co-editor where I undertook a plethora of tasks within this bracket, but also completed small, but integral components which aided the completion of our magazine to the best possible standard. The structure of my analysis will be inspired by </w:t>
      </w:r>
      <w:r w:rsidDel="00000000" w:rsidR="00000000" w:rsidRPr="00000000">
        <w:rPr>
          <w:sz w:val="20"/>
          <w:szCs w:val="20"/>
          <w:rtl w:val="0"/>
        </w:rPr>
        <w:t xml:space="preserve">(Gibbs, G. 1988)</w:t>
      </w:r>
      <w:r w:rsidDel="00000000" w:rsidR="00000000" w:rsidRPr="00000000">
        <w:rPr>
          <w:rtl w:val="0"/>
        </w:rPr>
        <w:t xml:space="preserve"> where I shall utilise key points, descriptions, feelings, evaluation, analysis and conclusions general and specific.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To establish my role within my group we referred to the beginning stages of the module where we looked at Belbin’s team role theory which refers to one of nine cultures of behaviour attributes</w:t>
      </w:r>
      <w:r w:rsidDel="00000000" w:rsidR="00000000" w:rsidRPr="00000000">
        <w:rPr>
          <w:sz w:val="20"/>
          <w:szCs w:val="20"/>
          <w:highlight w:val="white"/>
          <w:rtl w:val="0"/>
        </w:rPr>
        <w:t xml:space="preserve">(Belbin, 2021)</w:t>
      </w:r>
      <w:r w:rsidDel="00000000" w:rsidR="00000000" w:rsidRPr="00000000">
        <w:rPr>
          <w:rtl w:val="0"/>
        </w:rPr>
        <w:t xml:space="preserve">. I would characterise myself as the “monitor evaluator” and “completer/ finisher”. My role as the co-editor facilitated team progress due to this initial establishment of roles based on our working styles. However, I wasn’t eager in sharing a role as I thought it would inhibit my progress within the team, working under someone else, and often found there wasn’t much scope within my role. Evaluating on this, I learnt that this wasn’t the case, and as a group we all contributed to each magazine role as a collective instead of as individuals. Concluding from this, I attribute this initial response to having concrete experience which relates to Kolb’s cycle and the role </w:t>
      </w:r>
      <w:r w:rsidDel="00000000" w:rsidR="00000000" w:rsidRPr="00000000">
        <w:rPr>
          <w:sz w:val="20"/>
          <w:szCs w:val="20"/>
          <w:highlight w:val="white"/>
          <w:rtl w:val="0"/>
        </w:rPr>
        <w:t xml:space="preserve">(Vince, 1998)</w:t>
      </w:r>
      <w:r w:rsidDel="00000000" w:rsidR="00000000" w:rsidRPr="00000000">
        <w:rPr>
          <w:rtl w:val="0"/>
        </w:rPr>
        <w:t xml:space="preserve">. Through active conceptualization I have realised it is best to have one ‘lead’, particularly as editor where someone can have an overall say on the formulation of the magazine, but it doesn’t rule out the fact as co-editor I could still assist and work across multiple roles which overall benefitted me as I developed an understanding of magazine roles, which at the beginning of the module were abstract to me. Likewise, aiding in the smaller roles of editors note and proofreading others work to fulfill our groups initial desires/direction of the magazine to have a final product we can all be proud of.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color w:val="222222"/>
          <w:highlight w:val="white"/>
        </w:rPr>
      </w:pPr>
      <w:r w:rsidDel="00000000" w:rsidR="00000000" w:rsidRPr="00000000">
        <w:rPr>
          <w:color w:val="222222"/>
          <w:highlight w:val="white"/>
          <w:rtl w:val="0"/>
        </w:rPr>
        <w:t xml:space="preserve">My overall contribution to the magazine was plentiful as I had an appendix of research and composed an article in line with the magazine's statement and tone, which was successful. The article I wrote was based on previous knowledge in interior design, further supported by primary and secondary research materials I gathered from conducting interviews. I thought as such, this was fitting for the magazine.</w:t>
      </w:r>
    </w:p>
    <w:p w:rsidR="00000000" w:rsidDel="00000000" w:rsidP="00000000" w:rsidRDefault="00000000" w:rsidRPr="00000000" w14:paraId="00000009">
      <w:pPr>
        <w:rPr/>
      </w:pPr>
      <w:r w:rsidDel="00000000" w:rsidR="00000000" w:rsidRPr="00000000">
        <w:rPr>
          <w:color w:val="222222"/>
          <w:highlight w:val="white"/>
          <w:rtl w:val="0"/>
        </w:rPr>
        <w:t xml:space="preserve">Studying the Creative Media course with zero experience of indesign in a group with members very much accustomed to the software, I found it encouraging learning as I go, receiving positive affirmations but more importantly tips for improvement from my fellow group members as well as the moule leader. This is integral to me as I have developed new skills which I can utilise further in my course which I would have been too apprehensive to follow through with. This can only be pinned to a nervous disposition and relying on this word ‘perfect’ as a crux for all my work. Understanding that it is rather the process which is more valuable in the magazine industry is what I believe pins the magazine to be as it stands; a playful perspective on a reconceptualized notion of cleaning not yet undertaken. </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sz w:val="48"/>
          <w:szCs w:val="48"/>
        </w:rPr>
      </w:pPr>
      <w:r w:rsidDel="00000000" w:rsidR="00000000" w:rsidRPr="00000000">
        <w:rPr>
          <w:rtl w:val="0"/>
        </w:rPr>
        <w:t xml:space="preserve">For me, the most significant element of our magazine should be noted as how we worked and communicated as a team. As a group we uplifted each other and had a constantly active group chat where we all felt comfortable sharing our ideas even if it was just a stream of consciousness. However, if it wasn’t due to COVID-19 restrictions I would have preferred to communicate in person rather than online as it is my preferred way of working and from so far experiences within the last two weeks of on-campus- teaching I would suggest we were more effective and productive in these sessions, but likewise I find it more immersive which is something I would actively encourage if proposed with a similar task. </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653 Words.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u w:val="single"/>
        </w:rPr>
      </w:pPr>
      <w:r w:rsidDel="00000000" w:rsidR="00000000" w:rsidRPr="00000000">
        <w:rPr>
          <w:rtl w:val="0"/>
        </w:rPr>
      </w:r>
    </w:p>
    <w:p w:rsidR="00000000" w:rsidDel="00000000" w:rsidP="00000000" w:rsidRDefault="00000000" w:rsidRPr="00000000" w14:paraId="00000011">
      <w:pPr>
        <w:rPr>
          <w:u w:val="single"/>
        </w:rPr>
      </w:pPr>
      <w:r w:rsidDel="00000000" w:rsidR="00000000" w:rsidRPr="00000000">
        <w:rPr>
          <w:rtl w:val="0"/>
        </w:rPr>
      </w:r>
    </w:p>
    <w:p w:rsidR="00000000" w:rsidDel="00000000" w:rsidP="00000000" w:rsidRDefault="00000000" w:rsidRPr="00000000" w14:paraId="00000012">
      <w:pPr>
        <w:rPr>
          <w:u w:val="single"/>
        </w:rPr>
      </w:pPr>
      <w:r w:rsidDel="00000000" w:rsidR="00000000" w:rsidRPr="00000000">
        <w:rPr>
          <w:rtl w:val="0"/>
        </w:rPr>
      </w:r>
    </w:p>
    <w:p w:rsidR="00000000" w:rsidDel="00000000" w:rsidP="00000000" w:rsidRDefault="00000000" w:rsidRPr="00000000" w14:paraId="00000013">
      <w:pPr>
        <w:rPr>
          <w:u w:val="single"/>
        </w:rPr>
      </w:pPr>
      <w:r w:rsidDel="00000000" w:rsidR="00000000" w:rsidRPr="00000000">
        <w:rPr>
          <w:rtl w:val="0"/>
        </w:rPr>
      </w:r>
    </w:p>
    <w:p w:rsidR="00000000" w:rsidDel="00000000" w:rsidP="00000000" w:rsidRDefault="00000000" w:rsidRPr="00000000" w14:paraId="00000014">
      <w:pPr>
        <w:rPr/>
      </w:pPr>
      <w:r w:rsidDel="00000000" w:rsidR="00000000" w:rsidRPr="00000000">
        <w:rPr>
          <w:u w:val="single"/>
          <w:rtl w:val="0"/>
        </w:rPr>
        <w:t xml:space="preserve">Bibliography:</w:t>
      </w:r>
      <w:r w:rsidDel="00000000" w:rsidR="00000000" w:rsidRPr="00000000">
        <w:rPr>
          <w:rtl w:val="0"/>
        </w:rPr>
      </w:r>
    </w:p>
    <w:p w:rsidR="00000000" w:rsidDel="00000000" w:rsidP="00000000" w:rsidRDefault="00000000" w:rsidRPr="00000000" w14:paraId="00000015">
      <w:pPr>
        <w:rPr>
          <w:sz w:val="20"/>
          <w:szCs w:val="20"/>
          <w:highlight w:val="white"/>
        </w:rPr>
      </w:pPr>
      <w:r w:rsidDel="00000000" w:rsidR="00000000" w:rsidRPr="00000000">
        <w:rPr>
          <w:rtl w:val="0"/>
        </w:rPr>
      </w:r>
    </w:p>
    <w:p w:rsidR="00000000" w:rsidDel="00000000" w:rsidP="00000000" w:rsidRDefault="00000000" w:rsidRPr="00000000" w14:paraId="00000016">
      <w:pPr>
        <w:rPr>
          <w:sz w:val="20"/>
          <w:szCs w:val="20"/>
          <w:highlight w:val="white"/>
        </w:rPr>
      </w:pPr>
      <w:r w:rsidDel="00000000" w:rsidR="00000000" w:rsidRPr="00000000">
        <w:rPr>
          <w:sz w:val="20"/>
          <w:szCs w:val="20"/>
          <w:highlight w:val="white"/>
          <w:rtl w:val="0"/>
        </w:rPr>
        <w:t xml:space="preserve">Belbin, 2021. </w:t>
      </w:r>
      <w:r w:rsidDel="00000000" w:rsidR="00000000" w:rsidRPr="00000000">
        <w:rPr>
          <w:i w:val="1"/>
          <w:sz w:val="20"/>
          <w:szCs w:val="20"/>
          <w:rtl w:val="0"/>
        </w:rPr>
        <w:t xml:space="preserve">The Nine Belbin Team Roles</w:t>
      </w:r>
      <w:r w:rsidDel="00000000" w:rsidR="00000000" w:rsidRPr="00000000">
        <w:rPr>
          <w:sz w:val="20"/>
          <w:szCs w:val="20"/>
          <w:highlight w:val="white"/>
          <w:rtl w:val="0"/>
        </w:rPr>
        <w:t xml:space="preserve">. [online] Belbin.com. </w:t>
      </w:r>
    </w:p>
    <w:p w:rsidR="00000000" w:rsidDel="00000000" w:rsidP="00000000" w:rsidRDefault="00000000" w:rsidRPr="00000000" w14:paraId="00000017">
      <w:pPr>
        <w:rPr>
          <w:sz w:val="20"/>
          <w:szCs w:val="20"/>
          <w:highlight w:val="white"/>
        </w:rPr>
      </w:pPr>
      <w:r w:rsidDel="00000000" w:rsidR="00000000" w:rsidRPr="00000000">
        <w:rPr>
          <w:rtl w:val="0"/>
        </w:rPr>
      </w:r>
    </w:p>
    <w:p w:rsidR="00000000" w:rsidDel="00000000" w:rsidP="00000000" w:rsidRDefault="00000000" w:rsidRPr="00000000" w14:paraId="00000018">
      <w:pPr>
        <w:rPr>
          <w:sz w:val="20"/>
          <w:szCs w:val="20"/>
          <w:highlight w:val="white"/>
        </w:rPr>
      </w:pPr>
      <w:r w:rsidDel="00000000" w:rsidR="00000000" w:rsidRPr="00000000">
        <w:rPr>
          <w:rtl w:val="0"/>
        </w:rPr>
      </w:r>
    </w:p>
    <w:p w:rsidR="00000000" w:rsidDel="00000000" w:rsidP="00000000" w:rsidRDefault="00000000" w:rsidRPr="00000000" w14:paraId="00000019">
      <w:pPr>
        <w:rPr>
          <w:sz w:val="20"/>
          <w:szCs w:val="20"/>
          <w:highlight w:val="white"/>
        </w:rPr>
      </w:pPr>
      <w:r w:rsidDel="00000000" w:rsidR="00000000" w:rsidRPr="00000000">
        <w:rPr>
          <w:sz w:val="20"/>
          <w:szCs w:val="20"/>
          <w:highlight w:val="white"/>
          <w:rtl w:val="0"/>
        </w:rPr>
        <w:t xml:space="preserve">Vince, R., 1998. </w:t>
      </w:r>
      <w:r w:rsidDel="00000000" w:rsidR="00000000" w:rsidRPr="00000000">
        <w:rPr>
          <w:i w:val="1"/>
          <w:sz w:val="20"/>
          <w:szCs w:val="20"/>
          <w:highlight w:val="white"/>
          <w:rtl w:val="0"/>
        </w:rPr>
        <w:t xml:space="preserve">Kolb's Learning Cycle</w:t>
      </w:r>
      <w:r w:rsidDel="00000000" w:rsidR="00000000" w:rsidRPr="00000000">
        <w:rPr>
          <w:sz w:val="20"/>
          <w:szCs w:val="20"/>
          <w:highlight w:val="white"/>
          <w:rtl w:val="0"/>
        </w:rPr>
        <w:t xml:space="preserve">. p.3.</w:t>
      </w:r>
    </w:p>
    <w:p w:rsidR="00000000" w:rsidDel="00000000" w:rsidP="00000000" w:rsidRDefault="00000000" w:rsidRPr="00000000" w14:paraId="0000001A">
      <w:pPr>
        <w:shd w:fill="ffffff" w:val="clear"/>
        <w:spacing w:after="240" w:before="240" w:lineRule="auto"/>
        <w:rPr>
          <w:sz w:val="20"/>
          <w:szCs w:val="20"/>
        </w:rPr>
      </w:pPr>
      <w:r w:rsidDel="00000000" w:rsidR="00000000" w:rsidRPr="00000000">
        <w:rPr>
          <w:rtl w:val="0"/>
        </w:rPr>
      </w:r>
    </w:p>
    <w:p w:rsidR="00000000" w:rsidDel="00000000" w:rsidP="00000000" w:rsidRDefault="00000000" w:rsidRPr="00000000" w14:paraId="0000001B">
      <w:pPr>
        <w:shd w:fill="ffffff" w:val="clear"/>
        <w:spacing w:after="240" w:before="240" w:lineRule="auto"/>
        <w:rPr>
          <w:sz w:val="20"/>
          <w:szCs w:val="20"/>
        </w:rPr>
      </w:pPr>
      <w:r w:rsidDel="00000000" w:rsidR="00000000" w:rsidRPr="00000000">
        <w:rPr>
          <w:sz w:val="20"/>
          <w:szCs w:val="20"/>
          <w:rtl w:val="0"/>
        </w:rPr>
        <w:t xml:space="preserve">Gibbs, G. (1988) </w:t>
      </w:r>
      <w:r w:rsidDel="00000000" w:rsidR="00000000" w:rsidRPr="00000000">
        <w:rPr>
          <w:i w:val="1"/>
          <w:sz w:val="20"/>
          <w:szCs w:val="20"/>
          <w:rtl w:val="0"/>
        </w:rPr>
        <w:t xml:space="preserve">Learning By Doing</w:t>
      </w:r>
      <w:r w:rsidDel="00000000" w:rsidR="00000000" w:rsidRPr="00000000">
        <w:rPr>
          <w:sz w:val="20"/>
          <w:szCs w:val="20"/>
          <w:rtl w:val="0"/>
        </w:rPr>
        <w:t xml:space="preserve">, quoted in </w:t>
      </w:r>
      <w:r w:rsidDel="00000000" w:rsidR="00000000" w:rsidRPr="00000000">
        <w:rPr>
          <w:i w:val="1"/>
          <w:sz w:val="20"/>
          <w:szCs w:val="20"/>
          <w:rtl w:val="0"/>
        </w:rPr>
        <w:t xml:space="preserve">Reflective Writing: Guidance Notes for Students </w:t>
      </w:r>
      <w:r w:rsidDel="00000000" w:rsidR="00000000" w:rsidRPr="00000000">
        <w:rPr>
          <w:sz w:val="20"/>
          <w:szCs w:val="20"/>
          <w:rtl w:val="0"/>
        </w:rPr>
        <w:t xml:space="preserve">by</w:t>
      </w:r>
    </w:p>
    <w:p w:rsidR="00000000" w:rsidDel="00000000" w:rsidP="00000000" w:rsidRDefault="00000000" w:rsidRPr="00000000" w14:paraId="0000001C">
      <w:pPr>
        <w:shd w:fill="ffffff" w:val="clear"/>
        <w:spacing w:after="240" w:before="240" w:lineRule="auto"/>
        <w:rPr>
          <w:sz w:val="20"/>
          <w:szCs w:val="20"/>
        </w:rPr>
      </w:pPr>
      <w:r w:rsidDel="00000000" w:rsidR="00000000" w:rsidRPr="00000000">
        <w:rPr>
          <w:rtl w:val="0"/>
        </w:rPr>
      </w:r>
    </w:p>
    <w:p w:rsidR="00000000" w:rsidDel="00000000" w:rsidP="00000000" w:rsidRDefault="00000000" w:rsidRPr="00000000" w14:paraId="0000001D">
      <w:pPr>
        <w:shd w:fill="ffffff" w:val="clear"/>
        <w:spacing w:after="240" w:before="240" w:lineRule="auto"/>
        <w:rPr>
          <w:sz w:val="20"/>
          <w:szCs w:val="20"/>
        </w:rPr>
      </w:pPr>
      <w:r w:rsidDel="00000000" w:rsidR="00000000" w:rsidRPr="00000000">
        <w:rPr>
          <w:sz w:val="20"/>
          <w:szCs w:val="20"/>
          <w:rtl w:val="0"/>
        </w:rPr>
        <w:t xml:space="preserve">Pete Watton, Jane Collings, Jenny Moon (2001)</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